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A6AB" w14:textId="77777777" w:rsidR="00A732F1" w:rsidRPr="00BB6CA8" w:rsidRDefault="00A732F1" w:rsidP="00BB6CA8">
      <w:pPr>
        <w:pStyle w:val="Sansinterligne"/>
        <w:jc w:val="center"/>
        <w:rPr>
          <w:b/>
          <w:bCs/>
          <w:u w:val="single"/>
        </w:rPr>
      </w:pPr>
      <w:r w:rsidRPr="00BB6CA8">
        <w:rPr>
          <w:b/>
          <w:bCs/>
          <w:u w:val="single"/>
        </w:rPr>
        <w:t>Publications de Géraldine Hollanders de Ouderaen</w:t>
      </w:r>
    </w:p>
    <w:p w14:paraId="3707B9E0" w14:textId="77777777" w:rsidR="00A732F1" w:rsidRDefault="00A732F1" w:rsidP="00BB6CA8">
      <w:pPr>
        <w:pStyle w:val="Sansinterligne"/>
      </w:pPr>
    </w:p>
    <w:p w14:paraId="3E72925A" w14:textId="77777777" w:rsidR="00A732F1" w:rsidRDefault="00A732F1" w:rsidP="00BB6CA8">
      <w:pPr>
        <w:pStyle w:val="Sansinterligne"/>
      </w:pPr>
    </w:p>
    <w:p w14:paraId="4C656794" w14:textId="4F5E181A" w:rsidR="00A732F1" w:rsidRDefault="00A732F1" w:rsidP="00BB6CA8">
      <w:pPr>
        <w:pStyle w:val="Sansinterligne"/>
        <w:numPr>
          <w:ilvl w:val="0"/>
          <w:numId w:val="4"/>
        </w:numPr>
      </w:pPr>
      <w:r>
        <w:t xml:space="preserve">« La vocation successorale », in X., Familles : union et désunion, commentaire pratique, Kluwer, 2022. </w:t>
      </w:r>
    </w:p>
    <w:p w14:paraId="67CF9015" w14:textId="77777777" w:rsidR="00BB6CA8" w:rsidRDefault="00BB6CA8" w:rsidP="00BB6CA8">
      <w:pPr>
        <w:pStyle w:val="Sansinterligne"/>
      </w:pPr>
    </w:p>
    <w:p w14:paraId="69436D48" w14:textId="543CD89C" w:rsidR="00A732F1" w:rsidRDefault="00A732F1" w:rsidP="00BB6CA8">
      <w:pPr>
        <w:pStyle w:val="Sansinterligne"/>
        <w:numPr>
          <w:ilvl w:val="0"/>
          <w:numId w:val="4"/>
        </w:numPr>
      </w:pPr>
      <w:r>
        <w:t>« Premiers réflexes en droit civil à l’ouverture d’une succession » , Actualités en droit de successions et libéralités, Larcier, 2022, p.95-134. (avec J. F</w:t>
      </w:r>
      <w:r w:rsidR="00BB6CA8">
        <w:t>illenbaum</w:t>
      </w:r>
      <w:r>
        <w:t>)</w:t>
      </w:r>
    </w:p>
    <w:p w14:paraId="044C0401" w14:textId="77777777" w:rsidR="00BB6CA8" w:rsidRDefault="00BB6CA8" w:rsidP="00BB6CA8">
      <w:pPr>
        <w:pStyle w:val="Sansinterligne"/>
      </w:pPr>
    </w:p>
    <w:p w14:paraId="3A497056" w14:textId="656BE4CB" w:rsidR="00BB6CA8" w:rsidRPr="00BB6CA8" w:rsidRDefault="00A732F1" w:rsidP="00BB6CA8">
      <w:pPr>
        <w:pStyle w:val="Sansinterligne"/>
        <w:numPr>
          <w:ilvl w:val="0"/>
          <w:numId w:val="4"/>
        </w:numPr>
      </w:pPr>
      <w:r>
        <w:t>« La réserve en valeur, un aperçu de quelques impacts civils », Rev.not.belge, 2021/11, n°3166, p.1026-1034</w:t>
      </w:r>
      <w:r>
        <w:rPr>
          <w:rFonts w:ascii="Open Sans" w:hAnsi="Open Sans" w:cs="Open Sans"/>
          <w:b/>
          <w:bCs/>
          <w:color w:val="000000"/>
          <w:sz w:val="26"/>
          <w:szCs w:val="26"/>
          <w:shd w:val="clear" w:color="auto" w:fill="FAFAFA"/>
        </w:rPr>
        <w:t xml:space="preserve"> </w:t>
      </w:r>
      <w:r w:rsidRPr="00F75D55">
        <w:rPr>
          <w:rFonts w:cstheme="minorHAnsi"/>
          <w:color w:val="000000"/>
          <w:shd w:val="clear" w:color="auto" w:fill="FAFAFA"/>
        </w:rPr>
        <w:t>(</w:t>
      </w:r>
      <w:r>
        <w:rPr>
          <w:rFonts w:cstheme="minorHAnsi"/>
          <w:color w:val="000000"/>
          <w:shd w:val="clear" w:color="auto" w:fill="FAFAFA"/>
        </w:rPr>
        <w:t>a</w:t>
      </w:r>
      <w:r w:rsidRPr="00F75D55">
        <w:rPr>
          <w:rFonts w:cstheme="minorHAnsi"/>
          <w:color w:val="000000"/>
          <w:shd w:val="clear" w:color="auto" w:fill="FAFAFA"/>
        </w:rPr>
        <w:t xml:space="preserve">vec J. </w:t>
      </w:r>
      <w:r w:rsidR="00BB6CA8">
        <w:t>Fillenbaum</w:t>
      </w:r>
      <w:r w:rsidRPr="00F75D55">
        <w:rPr>
          <w:rFonts w:cstheme="minorHAnsi"/>
          <w:color w:val="000000"/>
          <w:shd w:val="clear" w:color="auto" w:fill="FAFAFA"/>
        </w:rPr>
        <w:t>)</w:t>
      </w:r>
      <w:r>
        <w:rPr>
          <w:rFonts w:cstheme="minorHAnsi"/>
          <w:color w:val="000000"/>
          <w:shd w:val="clear" w:color="auto" w:fill="FAFAFA"/>
        </w:rPr>
        <w:t>.</w:t>
      </w:r>
    </w:p>
    <w:p w14:paraId="48629559" w14:textId="77777777" w:rsidR="00BB6CA8" w:rsidRDefault="00BB6CA8" w:rsidP="00BB6CA8">
      <w:pPr>
        <w:pStyle w:val="Sansinterligne"/>
      </w:pPr>
    </w:p>
    <w:p w14:paraId="0A5A61B2" w14:textId="77777777" w:rsidR="00BB6CA8" w:rsidRDefault="00BB6CA8" w:rsidP="00BB6CA8">
      <w:pPr>
        <w:pStyle w:val="Sansinterligne"/>
      </w:pPr>
    </w:p>
    <w:p w14:paraId="3A839956" w14:textId="306790B3" w:rsidR="00A732F1" w:rsidRDefault="00A732F1" w:rsidP="00BB6CA8">
      <w:pPr>
        <w:pStyle w:val="Sansinterligne"/>
        <w:numPr>
          <w:ilvl w:val="0"/>
          <w:numId w:val="4"/>
        </w:numPr>
      </w:pPr>
      <w:r>
        <w:t>« Le traitement successoral de la donation de biens communs conformément à la clé de répartition de la communauté matrimoniale : en a-t-on mesuré toutes les implications ? » (avec A. Demortier), Rev.not.belge 2021, p.632 et s.</w:t>
      </w:r>
    </w:p>
    <w:p w14:paraId="1026ED5C" w14:textId="77777777" w:rsidR="00BB6CA8" w:rsidRDefault="00BB6CA8" w:rsidP="00BB6CA8">
      <w:pPr>
        <w:pStyle w:val="Sansinterligne"/>
      </w:pPr>
    </w:p>
    <w:p w14:paraId="21D35DD0" w14:textId="4EDAD65B" w:rsidR="00BB6CA8" w:rsidRDefault="00A732F1" w:rsidP="00BB6CA8">
      <w:pPr>
        <w:pStyle w:val="Sansinterligne"/>
        <w:numPr>
          <w:ilvl w:val="0"/>
          <w:numId w:val="4"/>
        </w:numPr>
      </w:pPr>
      <w:r>
        <w:t xml:space="preserve">« Un mandat extrajudiciaire, c’est quelque chose qui se prépare avant, pour éviter les ennuis après », R.P.P 2020/4, p. 290-297 (avec J. </w:t>
      </w:r>
      <w:r w:rsidR="00BB6CA8">
        <w:t>Fillenbaum</w:t>
      </w:r>
      <w:r>
        <w:t>)</w:t>
      </w:r>
      <w:r w:rsidR="00BB6CA8">
        <w:t>.</w:t>
      </w:r>
    </w:p>
    <w:p w14:paraId="155DB0B2" w14:textId="77777777" w:rsidR="00BB6CA8" w:rsidRDefault="00BB6CA8" w:rsidP="00BB6CA8">
      <w:pPr>
        <w:pStyle w:val="Sansinterligne"/>
      </w:pPr>
    </w:p>
    <w:p w14:paraId="05C5810C" w14:textId="465068CB" w:rsidR="00A732F1" w:rsidRDefault="00A732F1" w:rsidP="00BB6CA8">
      <w:pPr>
        <w:pStyle w:val="Sansinterligne"/>
        <w:numPr>
          <w:ilvl w:val="0"/>
          <w:numId w:val="4"/>
        </w:numPr>
      </w:pPr>
      <w:r>
        <w:t xml:space="preserve">Traité « Les donations », Rép. not., t. IV, Bruxelles, Larcier, 2019 (avec E. De Wilde d’Estmael, B. Delahaye et F. Tainmont). </w:t>
      </w:r>
    </w:p>
    <w:p w14:paraId="15D0FC34" w14:textId="77777777" w:rsidR="00BB6CA8" w:rsidRDefault="00BB6CA8" w:rsidP="00BB6CA8">
      <w:pPr>
        <w:pStyle w:val="Sansinterligne"/>
      </w:pPr>
    </w:p>
    <w:p w14:paraId="04F45426" w14:textId="66C6A127" w:rsidR="00A732F1" w:rsidRDefault="00A732F1" w:rsidP="00BB6CA8">
      <w:pPr>
        <w:pStyle w:val="Sansinterligne"/>
        <w:numPr>
          <w:ilvl w:val="0"/>
          <w:numId w:val="4"/>
        </w:numPr>
      </w:pPr>
      <w:r>
        <w:t>« La loi du 22 mai 2014 sur la conversion de l’usufruit: Heurs et malheurs du conjoint survivant », R.P.P., 2015/3, p. 295-308.</w:t>
      </w:r>
    </w:p>
    <w:p w14:paraId="6D214B2D" w14:textId="77777777" w:rsidR="00BB6CA8" w:rsidRDefault="00BB6CA8" w:rsidP="00BB6CA8">
      <w:pPr>
        <w:pStyle w:val="Sansinterligne"/>
      </w:pPr>
    </w:p>
    <w:p w14:paraId="2C4CDE6B" w14:textId="5DF66D2F" w:rsidR="00A732F1" w:rsidRDefault="00A732F1" w:rsidP="00BB6CA8">
      <w:pPr>
        <w:pStyle w:val="Sansinterligne"/>
        <w:numPr>
          <w:ilvl w:val="0"/>
          <w:numId w:val="4"/>
        </w:numPr>
      </w:pPr>
      <w:r>
        <w:t xml:space="preserve">« Le rapport des libéralités et le rapport de dettes : quel rapport ? », in X., Contentieux successoral. Les écueils juridiques du conflit successoral, Bruxelles, Larcier, 2013, p. 35-80 (avec J. </w:t>
      </w:r>
      <w:r w:rsidR="00BB6CA8">
        <w:t>Fillenbaum</w:t>
      </w:r>
      <w:r>
        <w:t>).</w:t>
      </w:r>
    </w:p>
    <w:p w14:paraId="0C09AB1B" w14:textId="77777777" w:rsidR="00BB6CA8" w:rsidRDefault="00BB6CA8" w:rsidP="00BB6CA8">
      <w:pPr>
        <w:pStyle w:val="Sansinterligne"/>
      </w:pPr>
    </w:p>
    <w:p w14:paraId="1BFD7395" w14:textId="6FF1750D" w:rsidR="00A732F1" w:rsidRDefault="00A732F1" w:rsidP="00BB6CA8">
      <w:pPr>
        <w:pStyle w:val="Sansinterligne"/>
        <w:numPr>
          <w:ilvl w:val="0"/>
          <w:numId w:val="4"/>
        </w:numPr>
      </w:pPr>
      <w:r>
        <w:t xml:space="preserve">« La vocation successorale », in X., Familles : union et désunion, commentaire pratique, Kluwer, mars 2013 (29 p.). </w:t>
      </w:r>
    </w:p>
    <w:p w14:paraId="1D246F6F" w14:textId="77777777" w:rsidR="00BB6CA8" w:rsidRDefault="00BB6CA8" w:rsidP="00BB6CA8">
      <w:pPr>
        <w:pStyle w:val="Sansinterligne"/>
      </w:pPr>
    </w:p>
    <w:p w14:paraId="6547E442" w14:textId="77777777" w:rsidR="00A732F1" w:rsidRDefault="00A732F1" w:rsidP="00BB6CA8">
      <w:pPr>
        <w:pStyle w:val="Sansinterligne"/>
        <w:numPr>
          <w:ilvl w:val="0"/>
          <w:numId w:val="4"/>
        </w:numPr>
      </w:pPr>
      <w:r>
        <w:t>« La libération des avoirs bancaires après décès: nouvelle mesure applicable depuis le 1er juillet 2012», Act. dr. fam. 2012, liv. 8-9, p. 195-197.</w:t>
      </w:r>
    </w:p>
    <w:p w14:paraId="7B6739B5" w14:textId="77777777" w:rsidR="00B36F25" w:rsidRDefault="00B36F25" w:rsidP="00BB6CA8">
      <w:pPr>
        <w:pStyle w:val="Sansinterligne"/>
      </w:pPr>
    </w:p>
    <w:sectPr w:rsidR="00B36F2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C5F"/>
    <w:multiLevelType w:val="hybridMultilevel"/>
    <w:tmpl w:val="6CEE7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E04DB"/>
    <w:multiLevelType w:val="hybridMultilevel"/>
    <w:tmpl w:val="C62E6F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B5B6C"/>
    <w:multiLevelType w:val="hybridMultilevel"/>
    <w:tmpl w:val="0E7E6B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03B93"/>
    <w:multiLevelType w:val="hybridMultilevel"/>
    <w:tmpl w:val="03F2A5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ECA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778592">
    <w:abstractNumId w:val="3"/>
  </w:num>
  <w:num w:numId="2" w16cid:durableId="820271238">
    <w:abstractNumId w:val="1"/>
  </w:num>
  <w:num w:numId="3" w16cid:durableId="1616524455">
    <w:abstractNumId w:val="0"/>
  </w:num>
  <w:num w:numId="4" w16cid:durableId="2070107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F1"/>
    <w:rsid w:val="00A732F1"/>
    <w:rsid w:val="00B36F25"/>
    <w:rsid w:val="00B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C09E"/>
  <w15:chartTrackingRefBased/>
  <w15:docId w15:val="{D4BC2BBF-55AE-425A-88AE-9FF44B60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2F1"/>
    <w:pPr>
      <w:ind w:left="720"/>
      <w:contextualSpacing/>
    </w:pPr>
  </w:style>
  <w:style w:type="paragraph" w:styleId="Sansinterligne">
    <w:name w:val="No Spacing"/>
    <w:uiPriority w:val="1"/>
    <w:qFormat/>
    <w:rsid w:val="00BB6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Réception</dc:creator>
  <cp:keywords/>
  <dc:description/>
  <cp:lastModifiedBy>Réception</cp:lastModifiedBy>
  <cp:revision>2</cp:revision>
  <dcterms:created xsi:type="dcterms:W3CDTF">2022-12-30T13:23:00Z</dcterms:created>
  <dcterms:modified xsi:type="dcterms:W3CDTF">2022-12-30T13:26:00Z</dcterms:modified>
</cp:coreProperties>
</file>